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0C6994D0"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109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295B47" w:rsidRPr="0059447D">
        <w:rPr>
          <w:rFonts w:ascii="Arial" w:hAnsi="Arial" w:cs="Arial"/>
          <w:b/>
          <w:bCs/>
          <w:sz w:val="28"/>
        </w:rPr>
        <w:t>2</w:t>
      </w:r>
      <w:r w:rsidR="00295B47">
        <w:rPr>
          <w:rFonts w:ascii="Arial" w:hAnsi="Arial" w:cs="Arial"/>
          <w:b/>
          <w:bCs/>
          <w:sz w:val="28"/>
        </w:rPr>
        <w:t>20</w:t>
      </w:r>
      <w:r w:rsidR="00BE50F9">
        <w:rPr>
          <w:rFonts w:ascii="Arial" w:hAnsi="Arial" w:cs="Arial"/>
          <w:b/>
          <w:bCs/>
          <w:sz w:val="28"/>
        </w:rPr>
        <w:t>3373</w:t>
      </w:r>
    </w:p>
    <w:p w14:paraId="1CAF21F9" w14:textId="5592AF71" w:rsidR="00704546" w:rsidRDefault="00704546" w:rsidP="00704546">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 xml:space="preserve">e-Meeting, </w:t>
      </w:r>
      <w:r w:rsidR="00295B47">
        <w:rPr>
          <w:rFonts w:ascii="Arial" w:eastAsia="MS Mincho" w:hAnsi="Arial" w:cs="Arial"/>
          <w:b/>
          <w:bCs/>
          <w:sz w:val="28"/>
          <w:lang w:eastAsia="ja-JP"/>
        </w:rPr>
        <w:t>May 9</w:t>
      </w:r>
      <w:r w:rsidR="00295B47">
        <w:rPr>
          <w:rFonts w:ascii="Arial" w:eastAsia="MS Mincho" w:hAnsi="Arial" w:cs="Arial"/>
          <w:b/>
          <w:bCs/>
          <w:sz w:val="28"/>
          <w:vertAlign w:val="superscript"/>
          <w:lang w:eastAsia="ja-JP"/>
        </w:rPr>
        <w:t>th</w:t>
      </w:r>
      <w:r w:rsidR="00295B47">
        <w:rPr>
          <w:rFonts w:ascii="Arial" w:eastAsia="MS Mincho" w:hAnsi="Arial" w:cs="Arial"/>
          <w:b/>
          <w:bCs/>
          <w:sz w:val="28"/>
          <w:lang w:eastAsia="ja-JP"/>
        </w:rPr>
        <w:t xml:space="preserve"> – 20</w:t>
      </w:r>
      <w:r w:rsidR="00295B47">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1"/>
    <w:bookmarkEnd w:id="2"/>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6CF72CC2"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6929F6">
        <w:rPr>
          <w:rFonts w:cs="Arial"/>
          <w:b/>
          <w:bCs/>
          <w:sz w:val="24"/>
          <w:szCs w:val="24"/>
          <w:lang w:val="en-US"/>
        </w:rPr>
        <w:t>5</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287AE005"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8D0CB3">
        <w:rPr>
          <w:rFonts w:ascii="Arial" w:hAnsi="Arial" w:cs="Arial"/>
          <w:b/>
          <w:bCs/>
        </w:rPr>
        <w:t>Remaining issues for</w:t>
      </w:r>
      <w:r w:rsidR="0094768B">
        <w:rPr>
          <w:rFonts w:ascii="Arial" w:hAnsi="Arial" w:cs="Arial"/>
          <w:b/>
          <w:bCs/>
        </w:rPr>
        <w:t xml:space="preserve"> </w:t>
      </w:r>
      <w:r w:rsidR="0027050C">
        <w:rPr>
          <w:rFonts w:ascii="Arial" w:hAnsi="Arial" w:cs="Arial"/>
          <w:b/>
          <w:bCs/>
        </w:rPr>
        <w:t>beam management for new SCSs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2EC86119" w14:textId="48B39FFC" w:rsidR="00926166" w:rsidRDefault="00592AB0" w:rsidP="00592AB0">
      <w:pPr>
        <w:spacing w:line="276" w:lineRule="auto"/>
        <w:jc w:val="both"/>
        <w:rPr>
          <w:rFonts w:ascii="Arial" w:hAnsi="Arial" w:cs="Arial"/>
        </w:rPr>
      </w:pPr>
      <w:r w:rsidRPr="00983ACF">
        <w:rPr>
          <w:rFonts w:ascii="Arial" w:hAnsi="Arial" w:cs="Arial"/>
        </w:rPr>
        <w:t>In RAN</w:t>
      </w:r>
      <w:r w:rsidR="0059447D">
        <w:rPr>
          <w:rFonts w:ascii="Arial" w:hAnsi="Arial" w:cs="Arial"/>
        </w:rPr>
        <w:t>1</w:t>
      </w:r>
      <w:r w:rsidRPr="00983ACF">
        <w:rPr>
          <w:rFonts w:ascii="Arial" w:hAnsi="Arial" w:cs="Arial"/>
        </w:rPr>
        <w:t>#</w:t>
      </w:r>
      <w:r w:rsidR="00AC4F91">
        <w:rPr>
          <w:rFonts w:ascii="Arial" w:hAnsi="Arial" w:cs="Arial"/>
        </w:rPr>
        <w:t>108</w:t>
      </w:r>
      <w:r w:rsidRPr="00983ACF">
        <w:rPr>
          <w:rFonts w:ascii="Arial" w:hAnsi="Arial" w:cs="Arial"/>
        </w:rPr>
        <w:t>-e</w:t>
      </w:r>
      <w:r w:rsidR="000070EB">
        <w:rPr>
          <w:rFonts w:ascii="Arial" w:hAnsi="Arial" w:cs="Arial"/>
        </w:rPr>
        <w:t xml:space="preserve"> [</w:t>
      </w:r>
      <w:r w:rsidR="00DA0EDD">
        <w:rPr>
          <w:rFonts w:ascii="Arial" w:hAnsi="Arial" w:cs="Arial"/>
        </w:rPr>
        <w:t>2</w:t>
      </w:r>
      <w:r w:rsidR="000070EB">
        <w:rPr>
          <w:rFonts w:ascii="Arial" w:hAnsi="Arial" w:cs="Arial"/>
        </w:rPr>
        <w:t>]</w:t>
      </w:r>
      <w:r w:rsidRPr="00983ACF">
        <w:rPr>
          <w:rFonts w:ascii="Arial" w:hAnsi="Arial" w:cs="Arial"/>
        </w:rPr>
        <w:t xml:space="preserve">, </w:t>
      </w:r>
      <w:r w:rsidR="00AC0E99">
        <w:rPr>
          <w:rFonts w:ascii="Arial" w:hAnsi="Arial" w:cs="Arial"/>
        </w:rPr>
        <w:t xml:space="preserve">the </w:t>
      </w:r>
      <w:r w:rsidR="0059447D">
        <w:rPr>
          <w:rFonts w:ascii="Arial" w:hAnsi="Arial" w:cs="Arial"/>
        </w:rPr>
        <w:t>following agreements on</w:t>
      </w:r>
      <w:r w:rsidR="00926166">
        <w:rPr>
          <w:rFonts w:ascii="Arial" w:hAnsi="Arial" w:cs="Arial"/>
        </w:rPr>
        <w:t xml:space="preserve"> beam </w:t>
      </w:r>
      <w:r w:rsidR="00C2545E">
        <w:rPr>
          <w:rFonts w:ascii="Arial" w:hAnsi="Arial" w:cs="Arial"/>
        </w:rPr>
        <w:t xml:space="preserve">management </w:t>
      </w:r>
      <w:r w:rsidR="0059447D">
        <w:rPr>
          <w:rFonts w:ascii="Arial" w:hAnsi="Arial" w:cs="Arial"/>
        </w:rPr>
        <w:t xml:space="preserve">for new SCSs were </w:t>
      </w:r>
      <w:r w:rsidR="00123C16">
        <w:rPr>
          <w:rFonts w:ascii="Arial" w:hAnsi="Arial" w:cs="Arial"/>
        </w:rPr>
        <w:t>made</w:t>
      </w:r>
      <w:r w:rsidR="00926166">
        <w:rPr>
          <w:rFonts w:ascii="Arial" w:hAnsi="Arial" w:cs="Arial"/>
        </w:rPr>
        <w:t>:</w:t>
      </w:r>
    </w:p>
    <w:tbl>
      <w:tblPr>
        <w:tblStyle w:val="TableGrid"/>
        <w:tblW w:w="0" w:type="auto"/>
        <w:tblLook w:val="04A0" w:firstRow="1" w:lastRow="0" w:firstColumn="1" w:lastColumn="0" w:noHBand="0" w:noVBand="1"/>
      </w:tblPr>
      <w:tblGrid>
        <w:gridCol w:w="9962"/>
      </w:tblGrid>
      <w:tr w:rsidR="0059447D" w:rsidRPr="00C6440C" w14:paraId="34218957" w14:textId="77777777" w:rsidTr="0059447D">
        <w:tc>
          <w:tcPr>
            <w:tcW w:w="9962" w:type="dxa"/>
          </w:tcPr>
          <w:p w14:paraId="67A49F23" w14:textId="77777777" w:rsidR="00AC4F91" w:rsidRPr="004F2F51" w:rsidRDefault="00AC4F91" w:rsidP="00AC4F91">
            <w:pPr>
              <w:rPr>
                <w:rFonts w:ascii="Times New Roman" w:hAnsi="Times New Roman"/>
                <w:b/>
              </w:rPr>
            </w:pPr>
            <w:bookmarkStart w:id="5" w:name="_Hlk93841801"/>
            <w:bookmarkStart w:id="6" w:name="_Hlk63407815"/>
            <w:r w:rsidRPr="004F2F51">
              <w:rPr>
                <w:rFonts w:ascii="Times New Roman" w:hAnsi="Times New Roman"/>
                <w:b/>
                <w:highlight w:val="green"/>
              </w:rPr>
              <w:t>Agreement</w:t>
            </w:r>
          </w:p>
          <w:p w14:paraId="3179E179" w14:textId="77777777" w:rsidR="00AC4F91" w:rsidRPr="00BB59C8" w:rsidRDefault="00AC4F91" w:rsidP="00AC4F91">
            <w:pPr>
              <w:rPr>
                <w:rFonts w:ascii="Times New Roman" w:hAnsi="Times New Roman"/>
              </w:rPr>
            </w:pPr>
            <w:r>
              <w:rPr>
                <w:rFonts w:ascii="Times New Roman" w:hAnsi="Times New Roman"/>
              </w:rPr>
              <w:t>TP#1 below is endorsed for TS 38.214</w:t>
            </w:r>
          </w:p>
          <w:p w14:paraId="2BCBBE0B" w14:textId="77777777" w:rsidR="00AC4F91" w:rsidRPr="00BB59C8" w:rsidRDefault="00AC4F91" w:rsidP="00AC4F91">
            <w:pPr>
              <w:widowControl w:val="0"/>
              <w:numPr>
                <w:ilvl w:val="0"/>
                <w:numId w:val="43"/>
              </w:numPr>
              <w:spacing w:after="0" w:line="240" w:lineRule="auto"/>
              <w:jc w:val="both"/>
              <w:rPr>
                <w:rFonts w:ascii="Times New Roman" w:eastAsia="Times New Roman" w:hAnsi="Times New Roman"/>
              </w:rPr>
            </w:pPr>
            <w:r w:rsidRPr="00BB59C8">
              <w:rPr>
                <w:rFonts w:ascii="Times New Roman" w:eastAsia="Times New Roman" w:hAnsi="Times New Roman"/>
              </w:rPr>
              <w:t xml:space="preserve">RAN1 continues discussion to </w:t>
            </w:r>
            <w:proofErr w:type="gramStart"/>
            <w:r w:rsidRPr="00BB59C8">
              <w:rPr>
                <w:rFonts w:ascii="Times New Roman" w:eastAsia="Times New Roman" w:hAnsi="Times New Roman"/>
              </w:rPr>
              <w:t>down-select</w:t>
            </w:r>
            <w:proofErr w:type="gramEnd"/>
            <w:r w:rsidRPr="00BB59C8">
              <w:rPr>
                <w:rFonts w:ascii="Times New Roman" w:eastAsia="Times New Roman" w:hAnsi="Times New Roman"/>
              </w:rPr>
              <w:t xml:space="preserve"> between the following Alt1 and Alt2.</w:t>
            </w:r>
          </w:p>
          <w:p w14:paraId="424672BB" w14:textId="77777777" w:rsidR="00AC4F91" w:rsidRPr="00EC62B2" w:rsidRDefault="00AC4F91" w:rsidP="00AC4F91">
            <w:pPr>
              <w:pStyle w:val="ListParagraph"/>
              <w:widowControl w:val="0"/>
              <w:numPr>
                <w:ilvl w:val="0"/>
                <w:numId w:val="43"/>
              </w:numPr>
              <w:spacing w:after="0" w:line="240" w:lineRule="auto"/>
              <w:ind w:left="1440"/>
              <w:jc w:val="both"/>
              <w:rPr>
                <w:rFonts w:ascii="Times New Roman" w:eastAsia="SimSun" w:hAnsi="Times New Roman"/>
              </w:rPr>
            </w:pPr>
            <w:r w:rsidRPr="00BB59C8">
              <w:rPr>
                <w:rFonts w:ascii="Times New Roman" w:hAnsi="Times New Roman"/>
              </w:rPr>
              <w:t>Alt1) The applied TCI states can be updated using unified TCI framework within the span of multi-PDSCH</w:t>
            </w:r>
          </w:p>
          <w:p w14:paraId="23AC3565" w14:textId="77777777" w:rsidR="00AC4F91" w:rsidRPr="003643BA" w:rsidRDefault="00AC4F91" w:rsidP="00AC4F91">
            <w:pPr>
              <w:pStyle w:val="ListParagraph"/>
              <w:widowControl w:val="0"/>
              <w:numPr>
                <w:ilvl w:val="0"/>
                <w:numId w:val="43"/>
              </w:numPr>
              <w:spacing w:after="0" w:line="240" w:lineRule="auto"/>
              <w:ind w:left="1440"/>
              <w:jc w:val="both"/>
              <w:rPr>
                <w:rFonts w:ascii="Times New Roman" w:eastAsia="Times New Roman" w:hAnsi="Times New Roman"/>
              </w:rPr>
            </w:pPr>
            <w:r w:rsidRPr="00BB59C8">
              <w:rPr>
                <w:rFonts w:ascii="Times New Roman" w:hAnsi="Times New Roman"/>
              </w:rPr>
              <w:t>Alt2) The applied TCI states cannot be updated using unified TCI framework within the span of multi-PDSCH</w:t>
            </w:r>
          </w:p>
          <w:p w14:paraId="208925C8" w14:textId="77777777" w:rsidR="00AC4F91" w:rsidRPr="00BB59C8" w:rsidRDefault="00AC4F91" w:rsidP="00AC4F91">
            <w:pPr>
              <w:pStyle w:val="ListParagraph"/>
              <w:widowControl w:val="0"/>
              <w:numPr>
                <w:ilvl w:val="0"/>
                <w:numId w:val="43"/>
              </w:numPr>
              <w:spacing w:after="0" w:line="240" w:lineRule="auto"/>
              <w:ind w:left="1440"/>
              <w:jc w:val="both"/>
              <w:rPr>
                <w:rFonts w:ascii="Times New Roman" w:eastAsia="Times New Roman" w:hAnsi="Times New Roman"/>
              </w:rPr>
            </w:pPr>
            <w:r>
              <w:rPr>
                <w:rFonts w:ascii="Times New Roman" w:hAnsi="Times New Roman"/>
              </w:rPr>
              <w:t>Note: coordination with Rel-17 MIMO WI is allowed as necessary</w:t>
            </w:r>
          </w:p>
          <w:p w14:paraId="487B2513" w14:textId="77777777" w:rsidR="00AC4F91" w:rsidRDefault="00AC4F91" w:rsidP="00AC4F91">
            <w:pPr>
              <w:rPr>
                <w:b/>
                <w:bCs/>
              </w:rPr>
            </w:pPr>
          </w:p>
          <w:p w14:paraId="374A2551" w14:textId="77777777" w:rsidR="00AC4F91" w:rsidRDefault="00AC4F91" w:rsidP="00AC4F91">
            <w:pPr>
              <w:rPr>
                <w:b/>
                <w:bCs/>
              </w:rPr>
            </w:pPr>
            <w:r>
              <w:rPr>
                <w:b/>
                <w:bCs/>
              </w:rPr>
              <w:t>TP#1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AC4F91" w14:paraId="78C610EF" w14:textId="77777777" w:rsidTr="00F23CF2">
              <w:tc>
                <w:tcPr>
                  <w:tcW w:w="9962" w:type="dxa"/>
                  <w:shd w:val="clear" w:color="auto" w:fill="auto"/>
                </w:tcPr>
                <w:p w14:paraId="32865EFB" w14:textId="77777777" w:rsidR="00AC4F91" w:rsidRDefault="00AC4F91" w:rsidP="00AC4F91">
                  <w:pPr>
                    <w:pStyle w:val="BodyText"/>
                    <w:spacing w:line="231" w:lineRule="atLeast"/>
                  </w:pPr>
                  <w:r w:rsidRPr="005C4715">
                    <w:rPr>
                      <w:sz w:val="28"/>
                      <w:szCs w:val="28"/>
                    </w:rPr>
                    <w:t xml:space="preserve">5.1.5 Antenna </w:t>
                  </w:r>
                  <w:proofErr w:type="gramStart"/>
                  <w:r w:rsidRPr="005C4715">
                    <w:rPr>
                      <w:sz w:val="28"/>
                      <w:szCs w:val="28"/>
                    </w:rPr>
                    <w:t>ports</w:t>
                  </w:r>
                  <w:proofErr w:type="gramEnd"/>
                  <w:r w:rsidRPr="005C4715">
                    <w:rPr>
                      <w:sz w:val="28"/>
                      <w:szCs w:val="28"/>
                    </w:rPr>
                    <w:t xml:space="preserve"> quasi co-location</w:t>
                  </w:r>
                </w:p>
                <w:p w14:paraId="67F692C1" w14:textId="77777777" w:rsidR="00AC4F91" w:rsidRDefault="00AC4F91" w:rsidP="00AC4F91">
                  <w:pPr>
                    <w:pStyle w:val="BodyText"/>
                    <w:spacing w:line="231" w:lineRule="atLeast"/>
                    <w:jc w:val="center"/>
                  </w:pPr>
                  <w:r w:rsidRPr="005C4715">
                    <w:rPr>
                      <w:rFonts w:ascii="Times New Roman" w:hAnsi="Times New Roman"/>
                      <w:color w:val="FF0000"/>
                    </w:rPr>
                    <w:t>*** Unchanged text omitted ***</w:t>
                  </w:r>
                </w:p>
                <w:p w14:paraId="7968F291" w14:textId="77777777" w:rsidR="00AC4F91" w:rsidRDefault="00AC4F91" w:rsidP="00AC4F91">
                  <w:r w:rsidRPr="005C4715">
                    <w:rPr>
                      <w:rFonts w:ascii="Times New Roman" w:hAnsi="Times New Roman"/>
                    </w:rPr>
                    <w:t>When the UE is configured with a single slot PDSCH, the indicated TCI state</w:t>
                  </w:r>
                  <w:r w:rsidRPr="005C4715">
                    <w:rPr>
                      <w:rStyle w:val="apple-converted-space"/>
                      <w:rFonts w:ascii="Times New Roman" w:hAnsi="Times New Roman"/>
                    </w:rPr>
                    <w:t> </w:t>
                  </w:r>
                  <w:r w:rsidRPr="005C4715">
                    <w:rPr>
                      <w:rFonts w:ascii="Times New Roman" w:hAnsi="Times New Roman"/>
                    </w:rPr>
                    <w:t>should be based on the activated</w:t>
                  </w:r>
                  <w:r w:rsidRPr="005C4715">
                    <w:rPr>
                      <w:rStyle w:val="apple-converted-space"/>
                      <w:rFonts w:ascii="Times New Roman" w:hAnsi="Times New Roman"/>
                    </w:rPr>
                    <w:t> </w:t>
                  </w:r>
                  <w:r w:rsidRPr="005C4715">
                    <w:rPr>
                      <w:rFonts w:ascii="Times New Roman" w:hAnsi="Times New Roman"/>
                    </w:rPr>
                    <w:t>TCI states in the slot with the scheduled PDSCH. When the UE is configured with a multi-slot PDSCH</w:t>
                  </w:r>
                  <w:r w:rsidRPr="005C4715">
                    <w:rPr>
                      <w:rStyle w:val="apple-converted-space"/>
                      <w:rFonts w:ascii="Times New Roman" w:hAnsi="Times New Roman"/>
                    </w:rPr>
                    <w:t> </w:t>
                  </w:r>
                  <w:r w:rsidRPr="005C4715">
                    <w:rPr>
                      <w:rFonts w:ascii="Times New Roman" w:hAnsi="Times New Roman"/>
                      <w:color w:val="FF0000"/>
                    </w:rPr>
                    <w:t>or the</w:t>
                  </w:r>
                  <w:r w:rsidRPr="005C4715">
                    <w:rPr>
                      <w:rStyle w:val="apple-converted-space"/>
                      <w:rFonts w:ascii="Times New Roman" w:hAnsi="Times New Roman"/>
                      <w:color w:val="FF0000"/>
                    </w:rPr>
                    <w:t> </w:t>
                  </w:r>
                  <w:r w:rsidRPr="005C4715">
                    <w:rPr>
                      <w:rFonts w:ascii="Times New Roman" w:hAnsi="Times New Roman"/>
                      <w:color w:val="FF0000"/>
                    </w:rPr>
                    <w:t>UE is configured with higher</w:t>
                  </w:r>
                  <w:r w:rsidRPr="005C4715">
                    <w:rPr>
                      <w:rStyle w:val="apple-converted-space"/>
                      <w:rFonts w:ascii="Times New Roman" w:hAnsi="Times New Roman"/>
                      <w:color w:val="FF0000"/>
                    </w:rPr>
                    <w:t> </w:t>
                  </w:r>
                  <w:r w:rsidRPr="005C4715">
                    <w:rPr>
                      <w:rFonts w:ascii="Times New Roman" w:hAnsi="Times New Roman"/>
                      <w:color w:val="FF0000"/>
                    </w:rPr>
                    <w:t>layer parameter [</w:t>
                  </w:r>
                  <w:r w:rsidRPr="005C4715">
                    <w:rPr>
                      <w:rFonts w:ascii="Times New Roman" w:hAnsi="Times New Roman"/>
                      <w:i/>
                      <w:iCs/>
                      <w:color w:val="FF0000"/>
                    </w:rPr>
                    <w:t>pdsch-TimeDomainAllocationListForMultiPDSCH-r17</w:t>
                  </w:r>
                  <w:r w:rsidRPr="005C4715">
                    <w:rPr>
                      <w:rFonts w:ascii="Times New Roman" w:hAnsi="Times New Roman"/>
                      <w:color w:val="FF0000"/>
                    </w:rPr>
                    <w:t>]</w:t>
                  </w:r>
                  <w:r w:rsidRPr="005C4715">
                    <w:rPr>
                      <w:rFonts w:ascii="Times New Roman" w:hAnsi="Times New Roman"/>
                    </w:rPr>
                    <w:t>, the</w:t>
                  </w:r>
                  <w:r w:rsidRPr="005C4715">
                    <w:rPr>
                      <w:rStyle w:val="apple-converted-space"/>
                      <w:rFonts w:ascii="Times New Roman" w:hAnsi="Times New Roman"/>
                    </w:rPr>
                    <w:t> </w:t>
                  </w:r>
                  <w:r w:rsidRPr="005C4715">
                    <w:rPr>
                      <w:rFonts w:ascii="Times New Roman" w:hAnsi="Times New Roman"/>
                    </w:rPr>
                    <w:t>indicated TCI state should be based on the activated TCI states in the first slot with the scheduled PDSCH</w:t>
                  </w:r>
                  <w:r w:rsidRPr="005C4715">
                    <w:rPr>
                      <w:rFonts w:ascii="Times New Roman" w:hAnsi="Times New Roman"/>
                      <w:color w:val="FF0000"/>
                    </w:rPr>
                    <w:t>(s)</w:t>
                  </w:r>
                  <w:r w:rsidRPr="005C4715">
                    <w:rPr>
                      <w:rFonts w:ascii="Times New Roman" w:hAnsi="Times New Roman"/>
                    </w:rPr>
                    <w:t>,</w:t>
                  </w:r>
                  <w:r w:rsidRPr="005C4715">
                    <w:rPr>
                      <w:rStyle w:val="apple-converted-space"/>
                      <w:rFonts w:ascii="Times New Roman" w:hAnsi="Times New Roman"/>
                    </w:rPr>
                    <w:t> </w:t>
                  </w:r>
                  <w:r w:rsidRPr="005C4715">
                    <w:rPr>
                      <w:rFonts w:ascii="Times New Roman" w:hAnsi="Times New Roman"/>
                    </w:rPr>
                    <w:t>and UE shall expect the activated TCI states are the same across the slots with the scheduled PDSCH</w:t>
                  </w:r>
                  <w:r w:rsidRPr="005C4715">
                    <w:rPr>
                      <w:rFonts w:ascii="Times New Roman" w:hAnsi="Times New Roman"/>
                      <w:color w:val="FF0000"/>
                    </w:rPr>
                    <w:t>(s)</w:t>
                  </w:r>
                  <w:r w:rsidRPr="005C4715">
                    <w:rPr>
                      <w:rFonts w:ascii="Times New Roman" w:hAnsi="Times New Roman"/>
                    </w:rPr>
                    <w:t>. When the</w:t>
                  </w:r>
                  <w:r w:rsidRPr="005C4715">
                    <w:rPr>
                      <w:rStyle w:val="apple-converted-space"/>
                      <w:rFonts w:ascii="Times New Roman" w:hAnsi="Times New Roman"/>
                    </w:rPr>
                    <w:t> </w:t>
                  </w:r>
                  <w:r w:rsidRPr="005C4715">
                    <w:rPr>
                      <w:rFonts w:ascii="Times New Roman" w:hAnsi="Times New Roman"/>
                    </w:rPr>
                    <w:t>UE is configured with CORESET associated with a search space set for cross-carrier scheduling and the UE is</w:t>
                  </w:r>
                  <w:r w:rsidRPr="005C4715">
                    <w:rPr>
                      <w:rStyle w:val="apple-converted-space"/>
                      <w:rFonts w:ascii="Times New Roman" w:hAnsi="Times New Roman"/>
                    </w:rPr>
                    <w:t> </w:t>
                  </w:r>
                  <w:r w:rsidRPr="005C4715">
                    <w:rPr>
                      <w:rFonts w:ascii="Times New Roman" w:hAnsi="Times New Roman"/>
                    </w:rPr>
                    <w:t>not configured with</w:t>
                  </w:r>
                  <w:r w:rsidRPr="005C4715">
                    <w:rPr>
                      <w:rStyle w:val="apple-converted-space"/>
                      <w:rFonts w:ascii="Times New Roman" w:hAnsi="Times New Roman"/>
                    </w:rPr>
                    <w:t> </w:t>
                  </w:r>
                  <w:r w:rsidRPr="005C4715">
                    <w:rPr>
                      <w:rFonts w:ascii="Times New Roman" w:hAnsi="Times New Roman"/>
                      <w:i/>
                      <w:iCs/>
                    </w:rPr>
                    <w:t>enableDefaultBeamForCCS</w:t>
                  </w:r>
                  <w:r w:rsidRPr="005C4715">
                    <w:rPr>
                      <w:rFonts w:ascii="Times New Roman" w:hAnsi="Times New Roman"/>
                    </w:rPr>
                    <w:t>, the UE expects</w:t>
                  </w:r>
                  <w:r w:rsidRPr="005C4715">
                    <w:rPr>
                      <w:rStyle w:val="apple-converted-space"/>
                      <w:rFonts w:ascii="Times New Roman" w:hAnsi="Times New Roman"/>
                    </w:rPr>
                    <w:t> </w:t>
                  </w:r>
                  <w:r w:rsidRPr="005C4715">
                    <w:rPr>
                      <w:rFonts w:ascii="Times New Roman" w:hAnsi="Times New Roman"/>
                      <w:i/>
                      <w:iCs/>
                    </w:rPr>
                    <w:t>tci-PresentInDCI</w:t>
                  </w:r>
                  <w:r w:rsidRPr="005C4715">
                    <w:rPr>
                      <w:rStyle w:val="apple-converted-space"/>
                      <w:rFonts w:ascii="Times New Roman" w:hAnsi="Times New Roman"/>
                      <w:iCs/>
                    </w:rPr>
                    <w:t> </w:t>
                  </w:r>
                  <w:r w:rsidRPr="005C4715">
                    <w:rPr>
                      <w:rFonts w:ascii="Times New Roman" w:hAnsi="Times New Roman"/>
                    </w:rPr>
                    <w:t>is set as 'enabled' or</w:t>
                  </w:r>
                  <w:r w:rsidRPr="005C4715">
                    <w:rPr>
                      <w:rStyle w:val="apple-converted-space"/>
                      <w:rFonts w:ascii="Times New Roman" w:hAnsi="Times New Roman"/>
                    </w:rPr>
                    <w:t> </w:t>
                  </w:r>
                  <w:r w:rsidRPr="005C4715">
                    <w:rPr>
                      <w:rFonts w:ascii="Times New Roman" w:hAnsi="Times New Roman"/>
                      <w:i/>
                      <w:iCs/>
                    </w:rPr>
                    <w:t>tci-PresentDCI-1-2</w:t>
                  </w:r>
                  <w:r w:rsidRPr="005C4715">
                    <w:rPr>
                      <w:rStyle w:val="apple-converted-space"/>
                      <w:rFonts w:ascii="Times New Roman" w:hAnsi="Times New Roman"/>
                      <w:iCs/>
                    </w:rPr>
                    <w:t> </w:t>
                  </w:r>
                  <w:r w:rsidRPr="005C4715">
                    <w:rPr>
                      <w:rFonts w:ascii="Times New Roman" w:hAnsi="Times New Roman"/>
                    </w:rPr>
                    <w:t>is configured for the CORESET, and if one or more of the TCI states configured for the serving cell scheduled by the search space set contains</w:t>
                  </w:r>
                  <w:r w:rsidRPr="005C4715">
                    <w:rPr>
                      <w:rStyle w:val="apple-converted-space"/>
                      <w:rFonts w:ascii="Times New Roman" w:hAnsi="Times New Roman"/>
                    </w:rPr>
                    <w:t> </w:t>
                  </w:r>
                  <w:r w:rsidRPr="005C4715">
                    <w:rPr>
                      <w:rFonts w:ascii="Times New Roman" w:hAnsi="Times New Roman"/>
                      <w:i/>
                      <w:iCs/>
                    </w:rPr>
                    <w:t>qcl-Type</w:t>
                  </w:r>
                  <w:r w:rsidRPr="005C4715">
                    <w:rPr>
                      <w:rStyle w:val="apple-converted-space"/>
                      <w:rFonts w:ascii="Times New Roman" w:hAnsi="Times New Roman"/>
                    </w:rPr>
                    <w:t> </w:t>
                  </w:r>
                  <w:r w:rsidRPr="005C4715">
                    <w:rPr>
                      <w:rFonts w:ascii="Times New Roman" w:hAnsi="Times New Roman"/>
                    </w:rPr>
                    <w:t>set to</w:t>
                  </w:r>
                  <w:r w:rsidRPr="005C4715">
                    <w:rPr>
                      <w:rStyle w:val="apple-converted-space"/>
                      <w:rFonts w:ascii="Times New Roman" w:hAnsi="Times New Roman"/>
                    </w:rPr>
                    <w:t> </w:t>
                  </w:r>
                  <w:r w:rsidRPr="005C4715">
                    <w:rPr>
                      <w:rFonts w:ascii="Times New Roman" w:hAnsi="Times New Roman"/>
                    </w:rPr>
                    <w:t>'typeD', the UE expects the time offset between</w:t>
                  </w:r>
                  <w:r w:rsidRPr="005C4715">
                    <w:rPr>
                      <w:rStyle w:val="apple-converted-space"/>
                      <w:rFonts w:ascii="Times New Roman" w:hAnsi="Times New Roman"/>
                    </w:rPr>
                    <w:t> </w:t>
                  </w:r>
                  <w:r w:rsidRPr="005C4715">
                    <w:rPr>
                      <w:rFonts w:ascii="Times New Roman" w:hAnsi="Times New Roman"/>
                    </w:rPr>
                    <w:t>the reception of the detected PDCCH in the search space set and a</w:t>
                  </w:r>
                  <w:r w:rsidRPr="005C4715">
                    <w:rPr>
                      <w:rStyle w:val="apple-converted-space"/>
                      <w:rFonts w:ascii="Times New Roman" w:hAnsi="Times New Roman"/>
                      <w:color w:val="FF0000"/>
                    </w:rPr>
                    <w:t> </w:t>
                  </w:r>
                  <w:r w:rsidRPr="005C4715">
                    <w:rPr>
                      <w:rFonts w:ascii="Times New Roman" w:hAnsi="Times New Roman"/>
                    </w:rPr>
                    <w:t>corresponding PDSCH is larger than or equal</w:t>
                  </w:r>
                  <w:r w:rsidRPr="005C4715">
                    <w:rPr>
                      <w:rStyle w:val="apple-converted-space"/>
                      <w:rFonts w:ascii="Times New Roman" w:hAnsi="Times New Roman"/>
                    </w:rPr>
                    <w:t> </w:t>
                  </w:r>
                  <w:r w:rsidRPr="005C4715">
                    <w:rPr>
                      <w:rFonts w:ascii="Times New Roman" w:hAnsi="Times New Roman"/>
                    </w:rPr>
                    <w:t>to the threshold</w:t>
                  </w:r>
                  <w:r w:rsidRPr="005C4715">
                    <w:rPr>
                      <w:rStyle w:val="apple-converted-space"/>
                      <w:rFonts w:ascii="Times New Roman" w:hAnsi="Times New Roman"/>
                    </w:rPr>
                    <w:t> </w:t>
                  </w:r>
                  <w:r w:rsidRPr="005C4715">
                    <w:rPr>
                      <w:rFonts w:ascii="Times New Roman" w:hAnsi="Times New Roman"/>
                      <w:i/>
                      <w:iCs/>
                    </w:rPr>
                    <w:t>timeDurationForQCL.</w:t>
                  </w:r>
                </w:p>
                <w:p w14:paraId="4A2E9990" w14:textId="77777777" w:rsidR="00AC4F91" w:rsidRPr="00BB59C8" w:rsidRDefault="00AC4F91" w:rsidP="00AC4F91">
                  <w:pPr>
                    <w:pStyle w:val="BodyText"/>
                    <w:spacing w:line="231" w:lineRule="atLeast"/>
                    <w:jc w:val="center"/>
                  </w:pPr>
                  <w:r w:rsidRPr="005C4715">
                    <w:rPr>
                      <w:rFonts w:ascii="Times New Roman" w:hAnsi="Times New Roman"/>
                      <w:color w:val="FF0000"/>
                    </w:rPr>
                    <w:t>*** Unchanged text omitted ***</w:t>
                  </w:r>
                </w:p>
              </w:tc>
            </w:tr>
            <w:bookmarkEnd w:id="5"/>
            <w:bookmarkEnd w:id="6"/>
          </w:tbl>
          <w:p w14:paraId="5E27B397" w14:textId="25E83528" w:rsidR="0059447D" w:rsidRPr="00C503DB" w:rsidRDefault="0059447D" w:rsidP="006D4823">
            <w:pPr>
              <w:snapToGrid w:val="0"/>
              <w:spacing w:after="0"/>
              <w:rPr>
                <w:rFonts w:ascii="Times New Roman" w:eastAsia="Times New Roman" w:hAnsi="Times New Roman" w:cs="Times New Roman"/>
                <w:strike/>
                <w:color w:val="FF0000"/>
              </w:rPr>
            </w:pPr>
          </w:p>
        </w:tc>
      </w:tr>
    </w:tbl>
    <w:p w14:paraId="2928BC45" w14:textId="77777777" w:rsidR="0059447D" w:rsidRDefault="0059447D" w:rsidP="00592AB0">
      <w:pPr>
        <w:spacing w:line="276" w:lineRule="auto"/>
        <w:jc w:val="both"/>
        <w:rPr>
          <w:rFonts w:ascii="Arial" w:hAnsi="Arial" w:cs="Arial"/>
        </w:rPr>
      </w:pPr>
    </w:p>
    <w:p w14:paraId="12CA4570" w14:textId="55FA035B" w:rsidR="00592AB0" w:rsidRPr="00983ACF" w:rsidRDefault="00592AB0" w:rsidP="00592AB0">
      <w:pPr>
        <w:spacing w:line="276" w:lineRule="auto"/>
        <w:jc w:val="both"/>
        <w:rPr>
          <w:rFonts w:ascii="Arial" w:hAnsi="Arial" w:cs="Arial"/>
        </w:rPr>
      </w:pPr>
      <w:r w:rsidRPr="00983ACF">
        <w:rPr>
          <w:rFonts w:ascii="Arial" w:hAnsi="Arial" w:cs="Arial"/>
        </w:rPr>
        <w:lastRenderedPageBreak/>
        <w:t xml:space="preserve">In this contribution, we discuss potential issues and </w:t>
      </w:r>
      <w:r w:rsidR="008D0CB3">
        <w:rPr>
          <w:rFonts w:ascii="Arial" w:hAnsi="Arial" w:cs="Arial"/>
        </w:rPr>
        <w:t>text proposals</w:t>
      </w:r>
      <w:r w:rsidRPr="00983ACF">
        <w:rPr>
          <w:rFonts w:ascii="Arial" w:hAnsi="Arial" w:cs="Arial"/>
        </w:rPr>
        <w:t xml:space="preserve"> </w:t>
      </w:r>
      <w:r w:rsidR="008610E0">
        <w:rPr>
          <w:rFonts w:ascii="Arial" w:hAnsi="Arial" w:cs="Arial"/>
        </w:rPr>
        <w:t>on</w:t>
      </w:r>
      <w:r w:rsidR="00926166">
        <w:rPr>
          <w:rFonts w:ascii="Arial" w:hAnsi="Arial" w:cs="Arial"/>
        </w:rPr>
        <w:t xml:space="preserve"> beam management </w:t>
      </w:r>
      <w:r w:rsidR="00CA0CDE">
        <w:rPr>
          <w:rFonts w:ascii="Arial" w:hAnsi="Arial" w:cs="Arial"/>
        </w:rPr>
        <w:t xml:space="preserve">enhancements </w:t>
      </w:r>
      <w:r w:rsidR="00926166">
        <w:rPr>
          <w:rFonts w:ascii="Arial" w:hAnsi="Arial" w:cs="Arial"/>
        </w:rPr>
        <w:t xml:space="preserve">for new SCSs in 52.6 </w:t>
      </w:r>
      <w:r w:rsidR="008610E0">
        <w:rPr>
          <w:rFonts w:ascii="Arial" w:hAnsi="Arial" w:cs="Arial"/>
          <w:bCs/>
          <w:i/>
          <w:iCs/>
        </w:rPr>
        <w:t>–</w:t>
      </w:r>
      <w:r w:rsidR="00926166">
        <w:rPr>
          <w:rFonts w:ascii="Arial" w:hAnsi="Arial" w:cs="Arial"/>
        </w:rPr>
        <w:t xml:space="preserve"> </w:t>
      </w:r>
      <w:r w:rsidRPr="00983ACF">
        <w:rPr>
          <w:rFonts w:ascii="Arial" w:hAnsi="Arial" w:cs="Arial"/>
        </w:rPr>
        <w:t>71GHz.</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24045072" w14:textId="77777777" w:rsidR="008D0CB3" w:rsidRDefault="007E3CE9" w:rsidP="008D0CB3">
      <w:pPr>
        <w:pStyle w:val="Heading2"/>
      </w:pPr>
      <w:r>
        <w:t>M</w:t>
      </w:r>
      <w:r w:rsidRPr="007E3CE9">
        <w:t>inimum guard period Y between two SRS resources of an SRS resource set for antenna switching</w:t>
      </w:r>
      <w:r w:rsidRPr="007E3CE9" w:rsidDel="007E3CE9">
        <w:t xml:space="preserve"> </w:t>
      </w:r>
    </w:p>
    <w:p w14:paraId="523DE6BA" w14:textId="77E80E57" w:rsidR="007E3CE9" w:rsidRDefault="007A2B65" w:rsidP="007E3DAE">
      <w:pPr>
        <w:spacing w:line="276" w:lineRule="auto"/>
        <w:jc w:val="both"/>
        <w:rPr>
          <w:rFonts w:ascii="Arial" w:hAnsi="Arial" w:cs="Arial"/>
        </w:rPr>
      </w:pPr>
      <w:r w:rsidRPr="007A2B65">
        <w:rPr>
          <w:rFonts w:ascii="Arial" w:hAnsi="Arial" w:cs="Arial"/>
        </w:rPr>
        <w:t>In RAN1#</w:t>
      </w:r>
      <w:r w:rsidR="007E3CE9" w:rsidRPr="007A2B65">
        <w:rPr>
          <w:rFonts w:ascii="Arial" w:hAnsi="Arial" w:cs="Arial"/>
        </w:rPr>
        <w:t>10</w:t>
      </w:r>
      <w:r w:rsidR="007E3CE9">
        <w:rPr>
          <w:rFonts w:ascii="Arial" w:hAnsi="Arial" w:cs="Arial"/>
        </w:rPr>
        <w:t>6bis</w:t>
      </w:r>
      <w:r w:rsidRPr="007A2B65">
        <w:rPr>
          <w:rFonts w:ascii="Arial" w:hAnsi="Arial" w:cs="Arial"/>
        </w:rPr>
        <w:t>-e</w:t>
      </w:r>
      <w:r w:rsidR="004E1221">
        <w:rPr>
          <w:rFonts w:ascii="Arial" w:hAnsi="Arial" w:cs="Arial"/>
        </w:rPr>
        <w:t xml:space="preserve"> </w:t>
      </w:r>
      <w:r w:rsidRPr="007A2B65">
        <w:rPr>
          <w:rFonts w:ascii="Arial" w:hAnsi="Arial" w:cs="Arial"/>
        </w:rPr>
        <w:t>[</w:t>
      </w:r>
      <w:r w:rsidR="008D0CB3">
        <w:rPr>
          <w:rFonts w:ascii="Arial" w:hAnsi="Arial" w:cs="Arial"/>
        </w:rPr>
        <w:t>1</w:t>
      </w:r>
      <w:r w:rsidRPr="007A2B65">
        <w:rPr>
          <w:rFonts w:ascii="Arial" w:hAnsi="Arial" w:cs="Arial"/>
        </w:rPr>
        <w:t xml:space="preserve">], </w:t>
      </w:r>
      <w:r w:rsidR="007E3CE9">
        <w:rPr>
          <w:rFonts w:ascii="Arial" w:hAnsi="Arial" w:cs="Arial"/>
        </w:rPr>
        <w:t xml:space="preserve">support of a minimum guard period Y between two SRS resources of an SRS resource set for antenna switching was agreed for 480 kHz and 960 kHz. </w:t>
      </w:r>
      <w:r w:rsidR="007E3CE9" w:rsidRPr="007E3CE9">
        <w:rPr>
          <w:rFonts w:ascii="Arial" w:hAnsi="Arial" w:cs="Arial"/>
        </w:rPr>
        <w:t>The value of the guard period Y expressed in number of symbols is specified in 38.214 Table 6.2.1.2-1 as follows</w:t>
      </w:r>
      <w:r w:rsidR="00566A1D">
        <w:rPr>
          <w:rFonts w:ascii="Arial" w:hAnsi="Arial" w:cs="Arial"/>
        </w:rPr>
        <w:t xml:space="preserve"> [</w:t>
      </w:r>
      <w:r w:rsidR="00DA0EDD">
        <w:rPr>
          <w:rFonts w:ascii="Arial" w:hAnsi="Arial" w:cs="Arial"/>
        </w:rPr>
        <w:t>3</w:t>
      </w:r>
      <w:r w:rsidR="00566A1D">
        <w:rPr>
          <w:rFonts w:ascii="Arial" w:hAnsi="Arial" w:cs="Arial"/>
        </w:rPr>
        <w:t>]</w:t>
      </w:r>
      <w:r w:rsidR="007E3CE9" w:rsidRPr="007E3CE9">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7E3CE9" w:rsidRPr="007E3CE9" w14:paraId="5D9E63E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21D4A9"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285" w:dyaOrig="285" w14:anchorId="009EA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mso-position-horizontal-relative:page;mso-position-vertical-relative:page" o:ole="">
                  <v:imagedata r:id="rId11" o:title=""/>
                </v:shape>
                <o:OLEObject Type="Embed" ProgID="Equation.3" ShapeID="_x0000_i1025" DrawAspect="Content" ObjectID="_1712350853" r:id="rId12"/>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8259F"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1590" w:dyaOrig="285" w14:anchorId="62930B35">
                <v:shape id="_x0000_i1026" type="#_x0000_t75" style="width:79.5pt;height:14.5pt;mso-position-horizontal-relative:page;mso-position-vertical-relative:page" o:ole="">
                  <v:imagedata r:id="rId13" o:title=""/>
                </v:shape>
                <o:OLEObject Type="Embed" ProgID="Equation.3" ShapeID="_x0000_i1026" DrawAspect="Content" ObjectID="_1712350854"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F81084" w14:textId="77777777" w:rsidR="007E3CE9" w:rsidRPr="007E3CE9" w:rsidRDefault="007E3CE9" w:rsidP="007E3CE9">
            <w:pPr>
              <w:keepNext/>
              <w:keepLines/>
              <w:spacing w:after="0" w:line="240" w:lineRule="auto"/>
              <w:jc w:val="center"/>
              <w:rPr>
                <w:rFonts w:ascii="Arial" w:eastAsia="SimSun" w:hAnsi="Arial" w:cs="Arial"/>
                <w:b/>
                <w:sz w:val="18"/>
                <w:lang w:val="en-GB" w:eastAsia="zh-CN"/>
              </w:rPr>
            </w:pPr>
            <w:r w:rsidRPr="007E3CE9">
              <w:rPr>
                <w:rFonts w:ascii="Arial" w:eastAsia="Calibri" w:hAnsi="Arial" w:cs="Arial"/>
                <w:b/>
                <w:i/>
                <w:sz w:val="18"/>
                <w:lang w:eastAsia="zh-CN"/>
              </w:rPr>
              <w:t>Y</w:t>
            </w:r>
            <w:r w:rsidRPr="007E3CE9">
              <w:rPr>
                <w:rFonts w:ascii="Arial" w:eastAsia="Calibri" w:hAnsi="Arial" w:cs="Arial"/>
                <w:b/>
                <w:sz w:val="18"/>
                <w:lang w:eastAsia="zh-CN"/>
              </w:rPr>
              <w:t xml:space="preserve"> [symbol]</w:t>
            </w:r>
          </w:p>
        </w:tc>
      </w:tr>
      <w:tr w:rsidR="007E3CE9" w:rsidRPr="007E3CE9" w14:paraId="2B1C3F3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206C8258" w14:textId="522BA31E"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7DD13E7C"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15</w:t>
            </w:r>
          </w:p>
        </w:tc>
        <w:tc>
          <w:tcPr>
            <w:tcW w:w="1843" w:type="dxa"/>
            <w:tcBorders>
              <w:top w:val="single" w:sz="4" w:space="0" w:color="auto"/>
              <w:left w:val="single" w:sz="4" w:space="0" w:color="auto"/>
              <w:bottom w:val="single" w:sz="4" w:space="0" w:color="auto"/>
              <w:right w:val="single" w:sz="4" w:space="0" w:color="auto"/>
            </w:tcBorders>
            <w:hideMark/>
          </w:tcPr>
          <w:p w14:paraId="5F57170D" w14:textId="77777777" w:rsidR="007E3CE9" w:rsidRPr="007E3CE9" w:rsidRDefault="007E3CE9" w:rsidP="00C16FC3">
            <w:pPr>
              <w:keepNext/>
              <w:keepLines/>
              <w:spacing w:after="0" w:line="240" w:lineRule="auto"/>
              <w:jc w:val="center"/>
              <w:rPr>
                <w:rFonts w:ascii="Arial" w:eastAsia="SimSun" w:hAnsi="Arial" w:cs="Arial"/>
                <w:sz w:val="18"/>
                <w:lang w:val="en-GB" w:eastAsia="zh-CN"/>
              </w:rPr>
            </w:pPr>
            <w:r w:rsidRPr="007E3CE9">
              <w:rPr>
                <w:rFonts w:ascii="Arial" w:eastAsia="Calibri" w:hAnsi="Arial" w:cs="Arial"/>
                <w:sz w:val="18"/>
                <w:lang w:eastAsia="zh-CN"/>
              </w:rPr>
              <w:t>1</w:t>
            </w:r>
          </w:p>
        </w:tc>
      </w:tr>
      <w:tr w:rsidR="007E3CE9" w:rsidRPr="007E3CE9" w14:paraId="0EC843D0"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75B2E81D"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6B7FA262"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30</w:t>
            </w:r>
          </w:p>
        </w:tc>
        <w:tc>
          <w:tcPr>
            <w:tcW w:w="1843" w:type="dxa"/>
            <w:tcBorders>
              <w:top w:val="single" w:sz="4" w:space="0" w:color="auto"/>
              <w:left w:val="single" w:sz="4" w:space="0" w:color="auto"/>
              <w:bottom w:val="single" w:sz="4" w:space="0" w:color="auto"/>
              <w:right w:val="single" w:sz="4" w:space="0" w:color="auto"/>
            </w:tcBorders>
            <w:hideMark/>
          </w:tcPr>
          <w:p w14:paraId="1A858190"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5EE3E886"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33DE3584"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6EB7D03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60</w:t>
            </w:r>
          </w:p>
        </w:tc>
        <w:tc>
          <w:tcPr>
            <w:tcW w:w="1843" w:type="dxa"/>
            <w:tcBorders>
              <w:top w:val="single" w:sz="4" w:space="0" w:color="auto"/>
              <w:left w:val="single" w:sz="4" w:space="0" w:color="auto"/>
              <w:bottom w:val="single" w:sz="4" w:space="0" w:color="auto"/>
              <w:right w:val="single" w:sz="4" w:space="0" w:color="auto"/>
            </w:tcBorders>
            <w:hideMark/>
          </w:tcPr>
          <w:p w14:paraId="1CBB777E"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4CABA681"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685C4F0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385053B3"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120</w:t>
            </w:r>
          </w:p>
        </w:tc>
        <w:tc>
          <w:tcPr>
            <w:tcW w:w="1843" w:type="dxa"/>
            <w:tcBorders>
              <w:top w:val="single" w:sz="4" w:space="0" w:color="auto"/>
              <w:left w:val="single" w:sz="4" w:space="0" w:color="auto"/>
              <w:bottom w:val="single" w:sz="4" w:space="0" w:color="auto"/>
              <w:right w:val="single" w:sz="4" w:space="0" w:color="auto"/>
            </w:tcBorders>
            <w:hideMark/>
          </w:tcPr>
          <w:p w14:paraId="7CA7CE8B"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2</w:t>
            </w:r>
          </w:p>
        </w:tc>
      </w:tr>
    </w:tbl>
    <w:p w14:paraId="76678F40" w14:textId="5586DDDE" w:rsidR="007E3CE9" w:rsidRPr="00C16FC3" w:rsidRDefault="007E3CE9" w:rsidP="007E3CE9">
      <w:pPr>
        <w:pStyle w:val="TH"/>
        <w:rPr>
          <w:rFonts w:eastAsia="SimSun"/>
          <w:sz w:val="22"/>
        </w:rPr>
      </w:pPr>
      <w:r w:rsidRPr="00C16FC3">
        <w:rPr>
          <w:sz w:val="22"/>
        </w:rPr>
        <w:t>Table 1: The minimum guard period between two SRS resources of an SRS resource set for antenna switching</w:t>
      </w:r>
    </w:p>
    <w:p w14:paraId="35A3B690" w14:textId="2A7C6272" w:rsidR="00FB4F2B" w:rsidRDefault="00FB4F2B" w:rsidP="007E3DAE">
      <w:pPr>
        <w:spacing w:line="276" w:lineRule="auto"/>
        <w:jc w:val="both"/>
        <w:rPr>
          <w:rFonts w:ascii="Arial" w:hAnsi="Arial" w:cs="Arial"/>
        </w:rPr>
      </w:pPr>
      <w:r>
        <w:rPr>
          <w:rFonts w:ascii="Arial" w:hAnsi="Arial" w:cs="Arial"/>
        </w:rPr>
        <w:t>As most of timing related values are scaled based on the absolute time durations,</w:t>
      </w:r>
      <w:r w:rsidR="0042512B">
        <w:rPr>
          <w:rFonts w:ascii="Arial" w:hAnsi="Arial" w:cs="Arial"/>
        </w:rPr>
        <w:t xml:space="preserve"> </w:t>
      </w:r>
      <w:r>
        <w:rPr>
          <w:rFonts w:ascii="Arial" w:hAnsi="Arial" w:cs="Arial"/>
        </w:rPr>
        <w:t xml:space="preserve">if we simply extrapolate </w:t>
      </w:r>
      <w:r w:rsidRPr="007E3CE9">
        <w:rPr>
          <w:rFonts w:ascii="Arial" w:hAnsi="Arial" w:cs="Arial"/>
        </w:rPr>
        <w:t>the required values for 480KHz and 960KHz relative to 120KHz</w:t>
      </w:r>
      <w:r w:rsidR="0042512B">
        <w:rPr>
          <w:rFonts w:ascii="Arial" w:hAnsi="Arial" w:cs="Arial"/>
        </w:rPr>
        <w:t>,</w:t>
      </w:r>
      <w:r w:rsidRPr="007E3CE9">
        <w:rPr>
          <w:rFonts w:ascii="Arial" w:hAnsi="Arial" w:cs="Arial"/>
        </w:rPr>
        <w:t xml:space="preserve"> we will end up with 8 and 16 symbols respectively.</w:t>
      </w:r>
      <w:r>
        <w:rPr>
          <w:rFonts w:ascii="Arial" w:hAnsi="Arial" w:cs="Arial"/>
        </w:rPr>
        <w:t xml:space="preserve"> </w:t>
      </w:r>
      <w:r w:rsidR="007316D1">
        <w:rPr>
          <w:rFonts w:ascii="Arial" w:hAnsi="Arial" w:cs="Arial"/>
        </w:rPr>
        <w:t>I</w:t>
      </w:r>
      <w:r>
        <w:rPr>
          <w:rFonts w:ascii="Arial" w:hAnsi="Arial" w:cs="Arial"/>
        </w:rPr>
        <w:t>t is important to support small values for the antenna switching gap considering multiplexing of multiple UEs in a cell</w:t>
      </w:r>
      <w:r w:rsidR="007316D1">
        <w:rPr>
          <w:rFonts w:ascii="Arial" w:hAnsi="Arial" w:cs="Arial"/>
        </w:rPr>
        <w:t>, however, the mandatory small values may be burdensome to UE implementation, especially for low implementation UEs</w:t>
      </w:r>
      <w:r>
        <w:rPr>
          <w:rFonts w:ascii="Arial" w:hAnsi="Arial" w:cs="Arial"/>
        </w:rPr>
        <w:t xml:space="preserve">. Having said that, we propose to </w:t>
      </w:r>
      <w:r w:rsidR="007316D1">
        <w:rPr>
          <w:rFonts w:ascii="Arial" w:hAnsi="Arial" w:cs="Arial"/>
        </w:rPr>
        <w:t>introduce</w:t>
      </w:r>
      <w:r>
        <w:rPr>
          <w:rFonts w:ascii="Arial" w:hAnsi="Arial" w:cs="Arial"/>
        </w:rPr>
        <w:t xml:space="preserve"> a UE capability to indicate one of [2, 8] for 480 kHz and [2, 16] for 960 kHz</w:t>
      </w:r>
      <w:r w:rsidR="007316D1">
        <w:rPr>
          <w:rFonts w:ascii="Arial" w:hAnsi="Arial" w:cs="Arial"/>
        </w:rPr>
        <w:t>, where 8 and 16 are mandatory values for 480 kHz and 960 kHz, respectively</w:t>
      </w:r>
      <w:r>
        <w:rPr>
          <w:rFonts w:ascii="Arial" w:hAnsi="Arial" w:cs="Arial"/>
        </w:rPr>
        <w:t xml:space="preserve">. </w:t>
      </w:r>
    </w:p>
    <w:p w14:paraId="4773875E" w14:textId="702FD71C"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CA4242E" w14:textId="4304A28F"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w:t>
      </w:r>
      <w:r w:rsidR="007316D1">
        <w:rPr>
          <w:rFonts w:ascii="Arial" w:hAnsi="Arial" w:cs="Arial"/>
          <w:i/>
          <w:iCs/>
        </w:rPr>
        <w:t xml:space="preserve">low values of antenna switching gap would bring efficient NR operation in 52-71GHz. </w:t>
      </w:r>
    </w:p>
    <w:p w14:paraId="5BDCA470" w14:textId="05C11666" w:rsidR="00FB4F2B" w:rsidRPr="00E66B36"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7316D1">
        <w:rPr>
          <w:rFonts w:ascii="Arial" w:hAnsi="Arial" w:cs="Arial"/>
          <w:i/>
          <w:iCs/>
        </w:rPr>
        <w:t xml:space="preserve">Introduce </w:t>
      </w:r>
      <w:r w:rsidR="007316D1" w:rsidRPr="007316D1">
        <w:rPr>
          <w:rFonts w:ascii="Arial" w:hAnsi="Arial" w:cs="Arial"/>
          <w:i/>
          <w:iCs/>
        </w:rPr>
        <w:t>a UE capability</w:t>
      </w:r>
      <w:r w:rsidR="007316D1">
        <w:rPr>
          <w:rFonts w:ascii="Arial" w:hAnsi="Arial" w:cs="Arial"/>
          <w:i/>
          <w:iCs/>
        </w:rPr>
        <w:t xml:space="preserve"> signaling</w:t>
      </w:r>
      <w:r w:rsidR="007316D1" w:rsidRPr="007316D1">
        <w:rPr>
          <w:rFonts w:ascii="Arial" w:hAnsi="Arial" w:cs="Arial"/>
          <w:i/>
          <w:iCs/>
        </w:rPr>
        <w:t xml:space="preserve"> to indicate one of [2, 8] for 480 kHz and [2, 16] for 960 kHz</w:t>
      </w:r>
      <w:r w:rsidR="007316D1">
        <w:rPr>
          <w:rFonts w:ascii="Arial" w:hAnsi="Arial" w:cs="Arial"/>
        </w:rPr>
        <w:t>, where 8 and 16 are mandatory values for 480 kHz and 960 kHz, respectively.</w:t>
      </w:r>
    </w:p>
    <w:p w14:paraId="38B19AA2" w14:textId="77F4D534" w:rsidR="00FD2EF2" w:rsidRDefault="00FD2EF2" w:rsidP="00FD2EF2">
      <w:pPr>
        <w:pStyle w:val="Heading2"/>
      </w:pPr>
      <w:r>
        <w:t xml:space="preserve">Support of multiple </w:t>
      </w:r>
      <w:r w:rsidR="00FD277E">
        <w:t>beam</w:t>
      </w:r>
      <w:r w:rsidR="004669A1">
        <w:t>s</w:t>
      </w:r>
      <w:r>
        <w:t xml:space="preserve"> for multi-PDSCH</w:t>
      </w:r>
      <w:r w:rsidR="00FD277E">
        <w:t>/PUSCH</w:t>
      </w:r>
      <w:r>
        <w:t xml:space="preserve"> scheduling</w:t>
      </w:r>
    </w:p>
    <w:p w14:paraId="150B7C15" w14:textId="61AA3362" w:rsidR="00893BF5" w:rsidRDefault="00B56159" w:rsidP="00714655">
      <w:pPr>
        <w:spacing w:line="276" w:lineRule="auto"/>
        <w:jc w:val="both"/>
        <w:rPr>
          <w:rFonts w:ascii="Arial" w:hAnsi="Arial" w:cs="Arial"/>
        </w:rPr>
      </w:pPr>
      <w:r>
        <w:rPr>
          <w:rFonts w:ascii="Arial" w:hAnsi="Arial" w:cs="Arial"/>
        </w:rPr>
        <w:t>In RAN1#</w:t>
      </w:r>
      <w:r w:rsidR="000416B8">
        <w:rPr>
          <w:rFonts w:ascii="Arial" w:hAnsi="Arial" w:cs="Arial"/>
        </w:rPr>
        <w:t>10</w:t>
      </w:r>
      <w:r w:rsidR="00893BF5">
        <w:rPr>
          <w:rFonts w:ascii="Arial" w:hAnsi="Arial" w:cs="Arial"/>
        </w:rPr>
        <w:t>8</w:t>
      </w:r>
      <w:r>
        <w:rPr>
          <w:rFonts w:ascii="Arial" w:hAnsi="Arial" w:cs="Arial"/>
        </w:rPr>
        <w:t>-e [</w:t>
      </w:r>
      <w:r w:rsidR="00DA0EDD">
        <w:rPr>
          <w:rFonts w:ascii="Arial" w:hAnsi="Arial" w:cs="Arial"/>
        </w:rPr>
        <w:t>2</w:t>
      </w:r>
      <w:r>
        <w:rPr>
          <w:rFonts w:ascii="Arial" w:hAnsi="Arial" w:cs="Arial"/>
        </w:rPr>
        <w:t xml:space="preserve">], </w:t>
      </w:r>
      <w:r w:rsidR="00893BF5">
        <w:rPr>
          <w:rFonts w:ascii="Arial" w:hAnsi="Arial" w:cs="Arial"/>
        </w:rPr>
        <w:t xml:space="preserve">TCI state indication based on the activated TCI states in the first slot and UE expectation on </w:t>
      </w:r>
      <w:r w:rsidR="00E415E1">
        <w:rPr>
          <w:rFonts w:ascii="Arial" w:hAnsi="Arial" w:cs="Arial"/>
        </w:rPr>
        <w:t>the same activated TCI states across the slots with the scheduled PDSCH(s) were agreed based on Rel-16 specification support for multi-slot PDSCH. In addition, whether to allow updating TCI states within the span of multi-PDSCH was discussed with the following two alternatives:</w:t>
      </w:r>
    </w:p>
    <w:p w14:paraId="77D1DF5A" w14:textId="77777777" w:rsidR="00E415E1" w:rsidRPr="006D4823" w:rsidRDefault="00E415E1" w:rsidP="006D4823">
      <w:pPr>
        <w:pStyle w:val="ListParagraph"/>
        <w:widowControl w:val="0"/>
        <w:numPr>
          <w:ilvl w:val="0"/>
          <w:numId w:val="43"/>
        </w:numPr>
        <w:spacing w:after="0" w:line="240" w:lineRule="auto"/>
        <w:jc w:val="both"/>
        <w:rPr>
          <w:rFonts w:ascii="Arial" w:eastAsia="SimSun" w:hAnsi="Arial" w:cs="Arial"/>
        </w:rPr>
      </w:pPr>
      <w:r w:rsidRPr="006D4823">
        <w:rPr>
          <w:rFonts w:ascii="Arial" w:hAnsi="Arial" w:cs="Arial"/>
        </w:rPr>
        <w:t>Alt1) The applied TCI states can be updated using unified TCI framework within the span of multi-PDSCH</w:t>
      </w:r>
    </w:p>
    <w:p w14:paraId="49726AFE" w14:textId="77777777" w:rsidR="00E415E1" w:rsidRPr="006D4823" w:rsidRDefault="00E415E1" w:rsidP="006D4823">
      <w:pPr>
        <w:pStyle w:val="ListParagraph"/>
        <w:widowControl w:val="0"/>
        <w:numPr>
          <w:ilvl w:val="0"/>
          <w:numId w:val="43"/>
        </w:numPr>
        <w:spacing w:after="0" w:line="240" w:lineRule="auto"/>
        <w:jc w:val="both"/>
        <w:rPr>
          <w:rFonts w:ascii="Arial" w:eastAsia="Times New Roman" w:hAnsi="Arial" w:cs="Arial"/>
        </w:rPr>
      </w:pPr>
      <w:r w:rsidRPr="006D4823">
        <w:rPr>
          <w:rFonts w:ascii="Arial" w:hAnsi="Arial" w:cs="Arial"/>
        </w:rPr>
        <w:t>Alt2) The applied TCI states cannot be updated using unified TCI framework within the span of multi-PDSCH</w:t>
      </w:r>
    </w:p>
    <w:p w14:paraId="27E1F55C" w14:textId="1A49595F" w:rsidR="009B12A0" w:rsidRDefault="009B12A0" w:rsidP="00714655">
      <w:pPr>
        <w:spacing w:line="276" w:lineRule="auto"/>
        <w:jc w:val="both"/>
        <w:rPr>
          <w:rFonts w:ascii="Arial" w:hAnsi="Arial" w:cs="Arial"/>
        </w:rPr>
      </w:pPr>
      <w:r>
        <w:rPr>
          <w:rFonts w:ascii="Arial" w:hAnsi="Arial" w:cs="Arial"/>
        </w:rPr>
        <w:lastRenderedPageBreak/>
        <w:t xml:space="preserve">If Alt2) is supported, gNB can update the applied TCI states only when multi-PDSCH are not scheduled. As newly indicated TCI states are applied after beam application time from UE ACK on gNB beam indication, gNB implementation should take into account UE ACK resource, beam application time and multi-PDSCH scheduling simultaneously to avoid TCI states update within the span of multi-PDSCH. </w:t>
      </w:r>
      <w:bookmarkStart w:id="7" w:name="_Hlk95220356"/>
      <w:r>
        <w:rPr>
          <w:rFonts w:ascii="Arial" w:hAnsi="Arial" w:cs="Arial"/>
        </w:rPr>
        <w:t>Since</w:t>
      </w:r>
      <w:r w:rsidR="00275442">
        <w:rPr>
          <w:rFonts w:ascii="Arial" w:hAnsi="Arial" w:cs="Arial"/>
        </w:rPr>
        <w:t xml:space="preserve"> multi-PDSCH transmission is a general transmission method in FR2-2</w:t>
      </w:r>
      <w:r>
        <w:rPr>
          <w:rFonts w:ascii="Arial" w:hAnsi="Arial" w:cs="Arial"/>
        </w:rPr>
        <w:t xml:space="preserve">, it would be a huge burden for gNB implementation to avoid multi-PDSCH scheduling especially for high downlink traffic scenario. In addition, updating the applied TCI states is aligned with the single PDSCH based TCI state determination method for Rel-15/16 beam management with multi-PDSCH. Lastly, no additional specification support is needed for Alt1) as Alt1) does not need any special treatment for multi-PDSCH with Rel-17 unified TCI framework. </w:t>
      </w:r>
    </w:p>
    <w:bookmarkEnd w:id="7"/>
    <w:p w14:paraId="16722EFB" w14:textId="752E8B59" w:rsidR="00080052" w:rsidRDefault="00080052" w:rsidP="00080052">
      <w:pPr>
        <w:spacing w:line="276" w:lineRule="auto"/>
        <w:jc w:val="both"/>
        <w:rPr>
          <w:rFonts w:ascii="Arial" w:hAnsi="Arial" w:cs="Arial"/>
          <w:i/>
          <w:iCs/>
        </w:rPr>
      </w:pPr>
      <w:r w:rsidRPr="00C913E6">
        <w:rPr>
          <w:rFonts w:ascii="Arial" w:hAnsi="Arial" w:cs="Arial"/>
          <w:b/>
          <w:bCs/>
          <w:i/>
          <w:iCs/>
        </w:rPr>
        <w:t xml:space="preserve">Observation </w:t>
      </w:r>
      <w:r w:rsidR="009B12A0">
        <w:rPr>
          <w:rFonts w:ascii="Arial" w:hAnsi="Arial" w:cs="Arial"/>
          <w:b/>
          <w:bCs/>
          <w:i/>
          <w:iCs/>
        </w:rPr>
        <w:t>3</w:t>
      </w:r>
      <w:r w:rsidRPr="00C913E6">
        <w:rPr>
          <w:rFonts w:ascii="Arial" w:hAnsi="Arial" w:cs="Arial"/>
          <w:b/>
          <w:bCs/>
          <w:i/>
          <w:iCs/>
        </w:rPr>
        <w:t>:</w:t>
      </w:r>
      <w:r>
        <w:rPr>
          <w:rFonts w:ascii="Arial" w:hAnsi="Arial" w:cs="Arial"/>
          <w:i/>
          <w:iCs/>
        </w:rPr>
        <w:t xml:space="preserve"> </w:t>
      </w:r>
      <w:r w:rsidR="009B12A0" w:rsidRPr="009B12A0">
        <w:rPr>
          <w:rFonts w:ascii="Arial" w:hAnsi="Arial" w:cs="Arial"/>
          <w:i/>
          <w:iCs/>
        </w:rPr>
        <w:t xml:space="preserve">As newly indicated TCI states are applied after beam application time from UE ACK on gNB beam indication, gNB implementation should </w:t>
      </w:r>
      <w:proofErr w:type="gramStart"/>
      <w:r w:rsidR="009B12A0" w:rsidRPr="009B12A0">
        <w:rPr>
          <w:rFonts w:ascii="Arial" w:hAnsi="Arial" w:cs="Arial"/>
          <w:i/>
          <w:iCs/>
        </w:rPr>
        <w:t>take into account</w:t>
      </w:r>
      <w:proofErr w:type="gramEnd"/>
      <w:r w:rsidR="009B12A0" w:rsidRPr="009B12A0">
        <w:rPr>
          <w:rFonts w:ascii="Arial" w:hAnsi="Arial" w:cs="Arial"/>
          <w:i/>
          <w:iCs/>
        </w:rPr>
        <w:t xml:space="preserve"> UE ACK resource, beam application time and multi-PDSCH scheduling simultaneously to avoid TCI states update within the span of multi-PDSCH.</w:t>
      </w:r>
    </w:p>
    <w:p w14:paraId="4CF18A9A" w14:textId="13724C35" w:rsidR="009B12A0" w:rsidRDefault="009B12A0" w:rsidP="009B12A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U</w:t>
      </w:r>
      <w:r w:rsidRPr="009B12A0">
        <w:rPr>
          <w:rFonts w:ascii="Arial" w:hAnsi="Arial" w:cs="Arial"/>
          <w:i/>
          <w:iCs/>
        </w:rPr>
        <w:t>pdating the applied TCI states is aligned with the single PDSCH based TCI state determination method for Rel-15/16 beam management with multi-PDSCH</w:t>
      </w:r>
      <w:r>
        <w:rPr>
          <w:rFonts w:ascii="Arial" w:hAnsi="Arial" w:cs="Arial"/>
          <w:i/>
          <w:iCs/>
        </w:rPr>
        <w:t>.</w:t>
      </w:r>
    </w:p>
    <w:p w14:paraId="6092AF4F" w14:textId="5C924657" w:rsidR="009B12A0" w:rsidRDefault="009B12A0" w:rsidP="009B12A0">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w:t>
      </w:r>
      <w:r w:rsidRPr="009B12A0">
        <w:rPr>
          <w:rFonts w:ascii="Arial" w:hAnsi="Arial" w:cs="Arial"/>
          <w:i/>
          <w:iCs/>
        </w:rPr>
        <w:t>no additional specification support is needed for Alt1) as Alt1) does not need any special treatment for multi-PDSCH with Rel-17 unified TCI framework.</w:t>
      </w:r>
    </w:p>
    <w:p w14:paraId="66280A15" w14:textId="15A4D3E4" w:rsidR="00DA0EDD" w:rsidRDefault="00080052" w:rsidP="00E66B36">
      <w:pPr>
        <w:jc w:val="both"/>
        <w:rPr>
          <w:rFonts w:ascii="Arial" w:hAnsi="Arial" w:cs="Arial"/>
          <w:i/>
          <w:iCs/>
        </w:rPr>
      </w:pPr>
      <w:r w:rsidRPr="00406DD8">
        <w:rPr>
          <w:rFonts w:ascii="Arial" w:hAnsi="Arial" w:cs="Arial"/>
          <w:b/>
          <w:bCs/>
          <w:i/>
          <w:iCs/>
        </w:rPr>
        <w:t xml:space="preserve">Proposal </w:t>
      </w:r>
      <w:r w:rsidR="009B12A0">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DA0EDD">
        <w:rPr>
          <w:rFonts w:ascii="Arial" w:hAnsi="Arial" w:cs="Arial"/>
          <w:i/>
          <w:iCs/>
        </w:rPr>
        <w:t xml:space="preserve">Support Alt1) </w:t>
      </w:r>
    </w:p>
    <w:p w14:paraId="33DBF6E5" w14:textId="1ADAF4B5" w:rsidR="00057F1F" w:rsidRPr="006D4823" w:rsidRDefault="00DA0EDD" w:rsidP="006D4823">
      <w:pPr>
        <w:pStyle w:val="ListParagraph"/>
        <w:numPr>
          <w:ilvl w:val="0"/>
          <w:numId w:val="44"/>
        </w:numPr>
        <w:jc w:val="both"/>
        <w:rPr>
          <w:rFonts w:ascii="Arial" w:hAnsi="Arial" w:cs="Arial"/>
          <w:b/>
          <w:bCs/>
          <w:i/>
          <w:iCs/>
        </w:rPr>
      </w:pPr>
      <w:r>
        <w:rPr>
          <w:rFonts w:ascii="Arial" w:hAnsi="Arial" w:cs="Arial"/>
          <w:i/>
          <w:iCs/>
        </w:rPr>
        <w:t>Support u</w:t>
      </w:r>
      <w:r w:rsidR="009B12A0" w:rsidRPr="006D4823">
        <w:rPr>
          <w:rFonts w:ascii="Arial" w:hAnsi="Arial" w:cs="Arial"/>
          <w:i/>
          <w:iCs/>
        </w:rPr>
        <w:t xml:space="preserve">pdating the applied TCI states within the </w:t>
      </w:r>
      <w:r>
        <w:rPr>
          <w:rFonts w:ascii="Arial" w:hAnsi="Arial" w:cs="Arial"/>
          <w:i/>
          <w:iCs/>
        </w:rPr>
        <w:t>span of multi-PDSCH</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27CA201A"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4E1F4C">
        <w:rPr>
          <w:rFonts w:ascii="Arial" w:hAnsi="Arial" w:cs="Arial"/>
        </w:rPr>
        <w:t xml:space="preserve">for </w:t>
      </w:r>
      <w:r w:rsidR="00D279C0">
        <w:rPr>
          <w:rFonts w:ascii="Arial" w:hAnsi="Arial" w:cs="Arial"/>
        </w:rPr>
        <w:t>beam management</w:t>
      </w:r>
      <w:r w:rsidR="00B22CAE" w:rsidRPr="003E37E3">
        <w:rPr>
          <w:rFonts w:ascii="Arial" w:hAnsi="Arial" w:cs="Arial"/>
        </w:rPr>
        <w:t xml:space="preserve"> </w:t>
      </w:r>
      <w:r w:rsidR="004E1F4C">
        <w:rPr>
          <w:rFonts w:ascii="Arial" w:hAnsi="Arial" w:cs="Arial"/>
        </w:rPr>
        <w:t xml:space="preserve">enhancements of NR in 52.6 </w:t>
      </w:r>
      <w:r w:rsidR="004E1F4C">
        <w:rPr>
          <w:rFonts w:ascii="Arial" w:hAnsi="Arial" w:cs="Arial"/>
          <w:bCs/>
          <w:i/>
          <w:iCs/>
        </w:rPr>
        <w:t>–</w:t>
      </w:r>
      <w:r w:rsidR="00B22CAE" w:rsidRPr="003E37E3">
        <w:rPr>
          <w:rFonts w:ascii="Arial" w:hAnsi="Arial" w:cs="Arial"/>
        </w:rPr>
        <w:t xml:space="preserve">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791F2D">
        <w:rPr>
          <w:rFonts w:ascii="Arial" w:hAnsi="Arial" w:cs="Arial"/>
        </w:rPr>
        <w:t xml:space="preserve">the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3A75C732" w14:textId="77777777" w:rsidR="00C646BC" w:rsidRDefault="00C646BC" w:rsidP="00C646B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3679B22" w14:textId="21ED2DA1" w:rsidR="00C646BC" w:rsidRDefault="00C646BC" w:rsidP="00C646B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low values of antenna switching gap would bring efficient NR operation in 52-71GHz. </w:t>
      </w:r>
    </w:p>
    <w:p w14:paraId="0D7C2D44" w14:textId="77777777" w:rsidR="00DA0EDD" w:rsidRDefault="00DA0EDD" w:rsidP="00DA0EDD">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w:t>
      </w:r>
      <w:r w:rsidRPr="009B12A0">
        <w:rPr>
          <w:rFonts w:ascii="Arial" w:hAnsi="Arial" w:cs="Arial"/>
          <w:i/>
          <w:iCs/>
        </w:rPr>
        <w:t xml:space="preserve">As newly indicated TCI states are applied after beam application time from UE ACK on gNB beam indication, gNB implementation should </w:t>
      </w:r>
      <w:proofErr w:type="gramStart"/>
      <w:r w:rsidRPr="009B12A0">
        <w:rPr>
          <w:rFonts w:ascii="Arial" w:hAnsi="Arial" w:cs="Arial"/>
          <w:i/>
          <w:iCs/>
        </w:rPr>
        <w:t>take into account</w:t>
      </w:r>
      <w:proofErr w:type="gramEnd"/>
      <w:r w:rsidRPr="009B12A0">
        <w:rPr>
          <w:rFonts w:ascii="Arial" w:hAnsi="Arial" w:cs="Arial"/>
          <w:i/>
          <w:iCs/>
        </w:rPr>
        <w:t xml:space="preserve"> UE ACK resource, beam application time and multi-PDSCH scheduling simultaneously to avoid TCI states update within the span of multi-PDSCH.</w:t>
      </w:r>
    </w:p>
    <w:p w14:paraId="6FE13CBA" w14:textId="77777777" w:rsidR="00DA0EDD" w:rsidRDefault="00DA0EDD" w:rsidP="00DA0EDD">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i/>
          <w:iCs/>
        </w:rPr>
        <w:t xml:space="preserve"> U</w:t>
      </w:r>
      <w:r w:rsidRPr="009B12A0">
        <w:rPr>
          <w:rFonts w:ascii="Arial" w:hAnsi="Arial" w:cs="Arial"/>
          <w:i/>
          <w:iCs/>
        </w:rPr>
        <w:t>pdating the applied TCI states is aligned with the single PDSCH based TCI state determination method for Rel-15/16 beam management with multi-PDSCH</w:t>
      </w:r>
      <w:r>
        <w:rPr>
          <w:rFonts w:ascii="Arial" w:hAnsi="Arial" w:cs="Arial"/>
          <w:i/>
          <w:iCs/>
        </w:rPr>
        <w:t>.</w:t>
      </w:r>
    </w:p>
    <w:p w14:paraId="2EE3A029" w14:textId="77777777" w:rsidR="00DA0EDD" w:rsidRDefault="00DA0EDD" w:rsidP="00DA0EDD">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w:t>
      </w:r>
      <w:r w:rsidRPr="009B12A0">
        <w:rPr>
          <w:rFonts w:ascii="Arial" w:hAnsi="Arial" w:cs="Arial"/>
          <w:i/>
          <w:iCs/>
        </w:rPr>
        <w:t>no additional specification support is needed for Alt1) as Alt1) does not need any special treatment for multi-PDSCH with Rel-17 unified TCI framework.</w:t>
      </w:r>
    </w:p>
    <w:p w14:paraId="48B75C9D" w14:textId="320BF195" w:rsidR="00C646BC" w:rsidRDefault="00C646BC" w:rsidP="00C646BC">
      <w:pPr>
        <w:spacing w:line="276" w:lineRule="auto"/>
        <w:jc w:val="both"/>
        <w:rPr>
          <w:rFonts w:ascii="Arial" w:hAnsi="Arial" w:cs="Arial"/>
        </w:rPr>
      </w:pPr>
      <w:r w:rsidRPr="00406DD8">
        <w:rPr>
          <w:rFonts w:ascii="Arial" w:hAnsi="Arial" w:cs="Arial"/>
          <w:b/>
          <w:bCs/>
          <w:i/>
          <w:iCs/>
        </w:rPr>
        <w:lastRenderedPageBreak/>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to indicate one of [2, 8] for 480 kHz and [2, 16] for 960 kHz</w:t>
      </w:r>
      <w:r w:rsidRPr="006D4823">
        <w:rPr>
          <w:rFonts w:ascii="Arial" w:hAnsi="Arial" w:cs="Arial"/>
          <w:i/>
          <w:iCs/>
        </w:rPr>
        <w:t>, where 8 and 16 are mandatory values for 480 kHz and 960 kHz, respectively.</w:t>
      </w:r>
    </w:p>
    <w:p w14:paraId="6E8D5A81" w14:textId="77777777" w:rsidR="00DA0EDD" w:rsidRDefault="00DA0EDD" w:rsidP="00F23CF2">
      <w:pPr>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Alt1) </w:t>
      </w:r>
    </w:p>
    <w:p w14:paraId="3FD5FCE0" w14:textId="5A15A79F" w:rsidR="00DA0EDD" w:rsidRPr="00F23CF2" w:rsidRDefault="00DA0EDD" w:rsidP="00DA0EDD">
      <w:pPr>
        <w:pStyle w:val="ListParagraph"/>
        <w:numPr>
          <w:ilvl w:val="0"/>
          <w:numId w:val="44"/>
        </w:numPr>
        <w:jc w:val="both"/>
        <w:rPr>
          <w:rFonts w:ascii="Arial" w:hAnsi="Arial" w:cs="Arial"/>
          <w:b/>
          <w:bCs/>
          <w:i/>
          <w:iCs/>
        </w:rPr>
      </w:pPr>
      <w:r>
        <w:rPr>
          <w:rFonts w:ascii="Arial" w:hAnsi="Arial" w:cs="Arial"/>
          <w:i/>
          <w:iCs/>
        </w:rPr>
        <w:t>Support u</w:t>
      </w:r>
      <w:r w:rsidRPr="00F23CF2">
        <w:rPr>
          <w:rFonts w:ascii="Arial" w:hAnsi="Arial" w:cs="Arial"/>
          <w:i/>
          <w:iCs/>
        </w:rPr>
        <w:t xml:space="preserve">pdating the applied TCI states within the </w:t>
      </w:r>
      <w:r>
        <w:rPr>
          <w:rFonts w:ascii="Arial" w:hAnsi="Arial" w:cs="Arial"/>
          <w:i/>
          <w:iCs/>
        </w:rPr>
        <w:t>span of multi-PDSCH.</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D579E44" w14:textId="4DAA772D" w:rsidR="005A55DF" w:rsidRPr="008677D7" w:rsidRDefault="005A55DF" w:rsidP="005A55DF">
      <w:pPr>
        <w:pStyle w:val="ListParagraph"/>
        <w:numPr>
          <w:ilvl w:val="0"/>
          <w:numId w:val="10"/>
        </w:numPr>
        <w:spacing w:after="80"/>
        <w:ind w:left="360" w:hanging="360"/>
        <w:rPr>
          <w:rFonts w:ascii="Arial" w:hAnsi="Arial" w:cs="Arial"/>
        </w:rPr>
      </w:pPr>
      <w:bookmarkStart w:id="8" w:name="_Ref521518965"/>
      <w:r w:rsidRPr="008677D7">
        <w:rPr>
          <w:rFonts w:ascii="Arial" w:eastAsia="SimSun" w:hAnsi="Arial" w:cs="Arial"/>
          <w:color w:val="000000"/>
        </w:rPr>
        <w:t xml:space="preserve">“Final </w:t>
      </w:r>
      <w:r w:rsidRPr="008677D7">
        <w:rPr>
          <w:rFonts w:ascii="Arial" w:hAnsi="Arial" w:cs="Arial"/>
        </w:rPr>
        <w:t>Report</w:t>
      </w:r>
      <w:r w:rsidRPr="008677D7">
        <w:rPr>
          <w:rFonts w:ascii="Arial" w:eastAsia="SimSun" w:hAnsi="Arial" w:cs="Arial"/>
          <w:color w:val="000000"/>
        </w:rPr>
        <w:t xml:space="preserve"> of 3GPP TSG RAN WG1 #10</w:t>
      </w:r>
      <w:r w:rsidR="008D0CB3" w:rsidRPr="008677D7">
        <w:rPr>
          <w:rFonts w:ascii="Arial" w:eastAsia="SimSun" w:hAnsi="Arial" w:cs="Arial"/>
          <w:color w:val="000000"/>
        </w:rPr>
        <w:t>6</w:t>
      </w:r>
      <w:r w:rsidRPr="008677D7">
        <w:rPr>
          <w:rFonts w:ascii="Arial" w:eastAsia="SimSun" w:hAnsi="Arial" w:cs="Arial"/>
          <w:color w:val="000000"/>
        </w:rPr>
        <w:t>b-e”, 3GPP RAN1 Meeting #10</w:t>
      </w:r>
      <w:r w:rsidR="008D0CB3" w:rsidRPr="008677D7">
        <w:rPr>
          <w:rFonts w:ascii="Arial" w:eastAsia="SimSun" w:hAnsi="Arial" w:cs="Arial"/>
          <w:color w:val="000000"/>
        </w:rPr>
        <w:t>6</w:t>
      </w:r>
      <w:r w:rsidRPr="008677D7">
        <w:rPr>
          <w:rFonts w:ascii="Arial" w:eastAsia="SimSun" w:hAnsi="Arial" w:cs="Arial"/>
          <w:color w:val="000000"/>
        </w:rPr>
        <w:t xml:space="preserve">b-e, e-Meeting, </w:t>
      </w:r>
      <w:r w:rsidR="008D0CB3" w:rsidRPr="008677D7">
        <w:rPr>
          <w:rFonts w:ascii="Arial" w:eastAsia="SimSun" w:hAnsi="Arial" w:cs="Arial"/>
          <w:color w:val="000000"/>
        </w:rPr>
        <w:t>October 11</w:t>
      </w:r>
      <w:r w:rsidR="008D0CB3" w:rsidRPr="008677D7">
        <w:rPr>
          <w:rFonts w:ascii="Arial" w:eastAsia="SimSun" w:hAnsi="Arial" w:cs="Arial"/>
          <w:color w:val="000000"/>
          <w:vertAlign w:val="superscript"/>
        </w:rPr>
        <w:t>th</w:t>
      </w:r>
      <w:r w:rsidR="008D0CB3" w:rsidRPr="008677D7">
        <w:rPr>
          <w:rFonts w:ascii="Arial" w:eastAsia="SimSun" w:hAnsi="Arial" w:cs="Arial"/>
          <w:color w:val="000000"/>
        </w:rPr>
        <w:t xml:space="preserve"> – 19</w:t>
      </w:r>
      <w:r w:rsidR="008D0CB3" w:rsidRPr="008677D7">
        <w:rPr>
          <w:rFonts w:ascii="Arial" w:eastAsia="SimSun" w:hAnsi="Arial" w:cs="Arial"/>
          <w:color w:val="000000"/>
          <w:vertAlign w:val="superscript"/>
        </w:rPr>
        <w:t>th</w:t>
      </w:r>
      <w:r w:rsidR="008D0CB3" w:rsidRPr="008677D7">
        <w:rPr>
          <w:rFonts w:ascii="Arial" w:eastAsia="SimSun" w:hAnsi="Arial" w:cs="Arial"/>
          <w:color w:val="000000"/>
        </w:rPr>
        <w:t>, 2021,</w:t>
      </w:r>
    </w:p>
    <w:p w14:paraId="3D6D83C4" w14:textId="01292C3B" w:rsidR="00893BF5" w:rsidRPr="008677D7" w:rsidRDefault="00893BF5" w:rsidP="00893BF5">
      <w:pPr>
        <w:pStyle w:val="ListParagraph"/>
        <w:numPr>
          <w:ilvl w:val="0"/>
          <w:numId w:val="10"/>
        </w:numPr>
        <w:spacing w:after="80"/>
        <w:ind w:left="360" w:hanging="360"/>
        <w:rPr>
          <w:rFonts w:ascii="Arial" w:hAnsi="Arial" w:cs="Arial"/>
        </w:rPr>
      </w:pPr>
      <w:r w:rsidRPr="008677D7">
        <w:rPr>
          <w:rFonts w:ascii="Arial" w:eastAsia="SimSun" w:hAnsi="Arial" w:cs="Arial"/>
          <w:color w:val="000000"/>
        </w:rPr>
        <w:t xml:space="preserve">“Final </w:t>
      </w:r>
      <w:r w:rsidRPr="008677D7">
        <w:rPr>
          <w:rFonts w:ascii="Arial" w:hAnsi="Arial" w:cs="Arial"/>
        </w:rPr>
        <w:t>Report</w:t>
      </w:r>
      <w:r w:rsidRPr="008677D7">
        <w:rPr>
          <w:rFonts w:ascii="Arial" w:eastAsia="SimSun" w:hAnsi="Arial" w:cs="Arial"/>
          <w:color w:val="000000"/>
        </w:rPr>
        <w:t xml:space="preserve"> of 3GPP TSG RAN WG1 #10</w:t>
      </w:r>
      <w:r>
        <w:rPr>
          <w:rFonts w:ascii="Arial" w:eastAsia="SimSun" w:hAnsi="Arial" w:cs="Arial"/>
          <w:color w:val="000000"/>
        </w:rPr>
        <w:t>8</w:t>
      </w:r>
      <w:r w:rsidRPr="008677D7">
        <w:rPr>
          <w:rFonts w:ascii="Arial" w:eastAsia="SimSun" w:hAnsi="Arial" w:cs="Arial"/>
          <w:color w:val="000000"/>
        </w:rPr>
        <w:t>-e”, 3GPP RAN1 Meeting #10</w:t>
      </w:r>
      <w:r w:rsidR="00DA0EDD">
        <w:rPr>
          <w:rFonts w:ascii="Arial" w:eastAsia="SimSun" w:hAnsi="Arial" w:cs="Arial"/>
          <w:color w:val="000000"/>
        </w:rPr>
        <w:t>8</w:t>
      </w:r>
      <w:r w:rsidRPr="008677D7">
        <w:rPr>
          <w:rFonts w:ascii="Arial" w:eastAsia="SimSun" w:hAnsi="Arial" w:cs="Arial"/>
          <w:color w:val="000000"/>
        </w:rPr>
        <w:t xml:space="preserve">-e, e-Meeting, </w:t>
      </w:r>
      <w:r>
        <w:rPr>
          <w:rFonts w:ascii="Arial" w:eastAsia="SimSun" w:hAnsi="Arial" w:cs="Arial"/>
          <w:color w:val="000000"/>
        </w:rPr>
        <w:t>February 21</w:t>
      </w:r>
      <w:r w:rsidRPr="006D4823">
        <w:rPr>
          <w:rFonts w:ascii="Arial" w:eastAsia="SimSun" w:hAnsi="Arial" w:cs="Arial"/>
          <w:color w:val="000000"/>
          <w:vertAlign w:val="superscript"/>
        </w:rPr>
        <w:t>st</w:t>
      </w:r>
      <w:r>
        <w:rPr>
          <w:rFonts w:ascii="Arial" w:eastAsia="SimSun" w:hAnsi="Arial" w:cs="Arial"/>
          <w:color w:val="000000"/>
        </w:rPr>
        <w:t xml:space="preserve"> </w:t>
      </w:r>
      <w:r w:rsidRPr="008677D7">
        <w:rPr>
          <w:rFonts w:ascii="Arial" w:eastAsia="SimSun" w:hAnsi="Arial" w:cs="Arial"/>
          <w:color w:val="000000"/>
        </w:rPr>
        <w:t xml:space="preserve">– </w:t>
      </w:r>
      <w:r>
        <w:rPr>
          <w:rFonts w:ascii="Arial" w:eastAsia="SimSun" w:hAnsi="Arial" w:cs="Arial"/>
          <w:color w:val="000000"/>
        </w:rPr>
        <w:t>March 3</w:t>
      </w:r>
      <w:r w:rsidRPr="006D4823">
        <w:rPr>
          <w:rFonts w:ascii="Arial" w:eastAsia="SimSun" w:hAnsi="Arial" w:cs="Arial"/>
          <w:color w:val="000000"/>
          <w:vertAlign w:val="superscript"/>
        </w:rPr>
        <w:t>rd</w:t>
      </w:r>
      <w:r w:rsidRPr="008677D7">
        <w:rPr>
          <w:rFonts w:ascii="Arial" w:eastAsia="SimSun" w:hAnsi="Arial" w:cs="Arial"/>
          <w:color w:val="000000"/>
        </w:rPr>
        <w:t>, 2022,</w:t>
      </w:r>
    </w:p>
    <w:p w14:paraId="2C9660C8" w14:textId="3F29DA9E" w:rsidR="001B01FC" w:rsidRPr="008677D7" w:rsidRDefault="00B407DC" w:rsidP="006D4823">
      <w:pPr>
        <w:pStyle w:val="ListParagraph"/>
        <w:numPr>
          <w:ilvl w:val="0"/>
          <w:numId w:val="10"/>
        </w:numPr>
        <w:spacing w:after="80"/>
        <w:rPr>
          <w:rFonts w:ascii="Arial" w:hAnsi="Arial" w:cs="Arial"/>
        </w:rPr>
      </w:pPr>
      <w:r w:rsidRPr="008677D7">
        <w:rPr>
          <w:rFonts w:ascii="Arial" w:hAnsi="Arial" w:cs="Arial"/>
        </w:rPr>
        <w:t>3GPP TS 38.214 (v16.2.0): “Physical layer procedures for data (Release 16)”</w:t>
      </w:r>
      <w:r w:rsidR="00E87380" w:rsidRPr="008677D7">
        <w:rPr>
          <w:rFonts w:ascii="Arial" w:hAnsi="Arial" w:cs="Arial"/>
        </w:rPr>
        <w:t>.</w:t>
      </w:r>
    </w:p>
    <w:bookmarkEnd w:id="8"/>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A7252" w14:textId="77777777" w:rsidR="001B1CB6" w:rsidRDefault="001B1CB6">
      <w:r>
        <w:separator/>
      </w:r>
    </w:p>
  </w:endnote>
  <w:endnote w:type="continuationSeparator" w:id="0">
    <w:p w14:paraId="175B0707" w14:textId="77777777" w:rsidR="001B1CB6" w:rsidRDefault="001B1CB6">
      <w:r>
        <w:continuationSeparator/>
      </w:r>
    </w:p>
  </w:endnote>
  <w:endnote w:type="continuationNotice" w:id="1">
    <w:p w14:paraId="3DB6EA69" w14:textId="77777777" w:rsidR="001B1CB6" w:rsidRDefault="001B1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3CF22" w14:textId="77777777" w:rsidR="001B1CB6" w:rsidRDefault="001B1CB6">
      <w:r>
        <w:separator/>
      </w:r>
    </w:p>
  </w:footnote>
  <w:footnote w:type="continuationSeparator" w:id="0">
    <w:p w14:paraId="22CAA3AC" w14:textId="77777777" w:rsidR="001B1CB6" w:rsidRDefault="001B1CB6">
      <w:r>
        <w:continuationSeparator/>
      </w:r>
    </w:p>
  </w:footnote>
  <w:footnote w:type="continuationNotice" w:id="1">
    <w:p w14:paraId="3B1BEACB" w14:textId="77777777" w:rsidR="001B1CB6" w:rsidRDefault="001B1C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71059"/>
    <w:multiLevelType w:val="hybridMultilevel"/>
    <w:tmpl w:val="D1E4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BDC1624"/>
    <w:multiLevelType w:val="hybridMultilevel"/>
    <w:tmpl w:val="21DEB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23067A"/>
    <w:multiLevelType w:val="hybridMultilevel"/>
    <w:tmpl w:val="621C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8E4177E"/>
    <w:multiLevelType w:val="hybridMultilevel"/>
    <w:tmpl w:val="FE04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6"/>
  </w:num>
  <w:num w:numId="4">
    <w:abstractNumId w:val="17"/>
  </w:num>
  <w:num w:numId="5">
    <w:abstractNumId w:val="11"/>
  </w:num>
  <w:num w:numId="6">
    <w:abstractNumId w:val="19"/>
  </w:num>
  <w:num w:numId="7">
    <w:abstractNumId w:val="26"/>
  </w:num>
  <w:num w:numId="8">
    <w:abstractNumId w:val="12"/>
  </w:num>
  <w:num w:numId="9">
    <w:abstractNumId w:val="36"/>
  </w:num>
  <w:num w:numId="10">
    <w:abstractNumId w:val="14"/>
  </w:num>
  <w:num w:numId="11">
    <w:abstractNumId w:val="28"/>
  </w:num>
  <w:num w:numId="12">
    <w:abstractNumId w:val="24"/>
  </w:num>
  <w:num w:numId="13">
    <w:abstractNumId w:val="38"/>
  </w:num>
  <w:num w:numId="14">
    <w:abstractNumId w:val="25"/>
  </w:num>
  <w:num w:numId="15">
    <w:abstractNumId w:val="6"/>
  </w:num>
  <w:num w:numId="16">
    <w:abstractNumId w:val="21"/>
  </w:num>
  <w:num w:numId="17">
    <w:abstractNumId w:val="30"/>
  </w:num>
  <w:num w:numId="18">
    <w:abstractNumId w:val="13"/>
  </w:num>
  <w:num w:numId="19">
    <w:abstractNumId w:val="4"/>
  </w:num>
  <w:num w:numId="20">
    <w:abstractNumId w:val="20"/>
  </w:num>
  <w:num w:numId="21">
    <w:abstractNumId w:val="5"/>
  </w:num>
  <w:num w:numId="22">
    <w:abstractNumId w:val="2"/>
  </w:num>
  <w:num w:numId="23">
    <w:abstractNumId w:val="34"/>
  </w:num>
  <w:num w:numId="24">
    <w:abstractNumId w:val="29"/>
  </w:num>
  <w:num w:numId="25">
    <w:abstractNumId w:val="8"/>
  </w:num>
  <w:num w:numId="26">
    <w:abstractNumId w:val="27"/>
  </w:num>
  <w:num w:numId="27">
    <w:abstractNumId w:val="37"/>
  </w:num>
  <w:num w:numId="28">
    <w:abstractNumId w:val="39"/>
  </w:num>
  <w:num w:numId="29">
    <w:abstractNumId w:val="34"/>
  </w:num>
  <w:num w:numId="30">
    <w:abstractNumId w:val="3"/>
  </w:num>
  <w:num w:numId="31">
    <w:abstractNumId w:val="18"/>
  </w:num>
  <w:num w:numId="32">
    <w:abstractNumId w:val="33"/>
  </w:num>
  <w:num w:numId="33">
    <w:abstractNumId w:val="1"/>
  </w:num>
  <w:num w:numId="34">
    <w:abstractNumId w:val="37"/>
  </w:num>
  <w:num w:numId="35">
    <w:abstractNumId w:val="7"/>
  </w:num>
  <w:num w:numId="36">
    <w:abstractNumId w:val="23"/>
  </w:num>
  <w:num w:numId="37">
    <w:abstractNumId w:val="15"/>
  </w:num>
  <w:num w:numId="38">
    <w:abstractNumId w:val="23"/>
  </w:num>
  <w:num w:numId="39">
    <w:abstractNumId w:val="0"/>
  </w:num>
  <w:num w:numId="40">
    <w:abstractNumId w:val="32"/>
  </w:num>
  <w:num w:numId="41">
    <w:abstractNumId w:val="31"/>
  </w:num>
  <w:num w:numId="42">
    <w:abstractNumId w:val="35"/>
  </w:num>
  <w:num w:numId="43">
    <w:abstractNumId w:val="10"/>
  </w:num>
  <w:num w:numId="4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CB6"/>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823"/>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0F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0F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BE50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50F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FAD53-2FBE-40E7-AB9A-EC518D4E9C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2022-04-25T03:58:00Z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